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7B78E5" w:rsidP="00CA3871">
      <w:pPr>
        <w:autoSpaceDE w:val="0"/>
        <w:autoSpaceDN w:val="0"/>
        <w:jc w:val="right"/>
        <w:rPr>
          <w:rFonts w:ascii="Times New Roman" w:hAnsi="Times New Roman"/>
          <w:color w:val="FF0000"/>
          <w:lang w:val="ru-RU"/>
        </w:rPr>
      </w:pPr>
      <w:r>
        <w:rPr>
          <w:rFonts w:ascii="Times New Roman" w:hAnsi="Times New Roman"/>
          <w:lang w:val="ru-RU"/>
        </w:rPr>
        <w:t xml:space="preserve"> от  18.01. 2024</w:t>
      </w:r>
      <w:r w:rsidR="00CA3871">
        <w:rPr>
          <w:rFonts w:ascii="Times New Roman" w:hAnsi="Times New Roman"/>
          <w:lang w:val="ru-RU"/>
        </w:rPr>
        <w:t xml:space="preserve"> № </w:t>
      </w:r>
      <w:r>
        <w:rPr>
          <w:rFonts w:ascii="Times New Roman" w:hAnsi="Times New Roman"/>
          <w:lang w:val="ru-RU"/>
        </w:rPr>
        <w:t>2</w:t>
      </w:r>
      <w:r w:rsidR="00DA4ABF">
        <w:rPr>
          <w:rFonts w:ascii="Times New Roman" w:hAnsi="Times New Roman"/>
          <w:lang w:val="ru-RU"/>
        </w:rPr>
        <w:t>3</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9842B6">
        <w:rPr>
          <w:rFonts w:ascii="Times New Roman" w:hAnsi="Times New Roman"/>
          <w:sz w:val="28"/>
          <w:szCs w:val="28"/>
          <w:lang w:val="ru-RU"/>
        </w:rPr>
        <w:t>ого участка (постановление от 18  января  2024 года №  23</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9842B6">
        <w:rPr>
          <w:rFonts w:ascii="Times New Roman" w:hAnsi="Times New Roman"/>
          <w:b/>
          <w:color w:val="000000"/>
          <w:sz w:val="28"/>
          <w:szCs w:val="28"/>
          <w:lang w:val="ru-RU"/>
        </w:rPr>
        <w:t>20 феврал</w:t>
      </w:r>
      <w:r w:rsidR="00DA4ABF">
        <w:rPr>
          <w:rFonts w:ascii="Times New Roman" w:hAnsi="Times New Roman"/>
          <w:b/>
          <w:color w:val="000000"/>
          <w:sz w:val="28"/>
          <w:szCs w:val="28"/>
          <w:lang w:val="ru-RU"/>
        </w:rPr>
        <w:t>я 2024 года в 11</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CA3871" w:rsidRDefault="00CA3871" w:rsidP="00CA3871">
      <w:pPr>
        <w:pStyle w:val="a3"/>
        <w:rPr>
          <w:sz w:val="28"/>
          <w:szCs w:val="28"/>
        </w:rPr>
      </w:pPr>
      <w:r>
        <w:rPr>
          <w:sz w:val="28"/>
          <w:szCs w:val="28"/>
        </w:rPr>
        <w:t xml:space="preserve">        Российская Федерация, Новгородская область, </w:t>
      </w:r>
      <w:proofErr w:type="spellStart"/>
      <w:r>
        <w:rPr>
          <w:sz w:val="28"/>
          <w:szCs w:val="28"/>
        </w:rPr>
        <w:t>Окуловский</w:t>
      </w:r>
      <w:proofErr w:type="spellEnd"/>
      <w:r>
        <w:rPr>
          <w:sz w:val="28"/>
          <w:szCs w:val="28"/>
        </w:rPr>
        <w:t xml:space="preserve"> муниципальный район, Угловское городское поселение, </w:t>
      </w:r>
      <w:proofErr w:type="spellStart"/>
      <w:r w:rsidR="00DA4ABF">
        <w:rPr>
          <w:sz w:val="28"/>
          <w:szCs w:val="28"/>
        </w:rPr>
        <w:t>рп</w:t>
      </w:r>
      <w:proofErr w:type="spellEnd"/>
      <w:r w:rsidR="00DA4ABF">
        <w:rPr>
          <w:sz w:val="28"/>
          <w:szCs w:val="28"/>
        </w:rPr>
        <w:t>. Угловка, территор</w:t>
      </w:r>
      <w:r w:rsidR="00E83CAF">
        <w:rPr>
          <w:sz w:val="28"/>
          <w:szCs w:val="28"/>
        </w:rPr>
        <w:t>ия Комплекс гаражей Советский, земельный участок 1</w:t>
      </w:r>
      <w:r>
        <w:rPr>
          <w:sz w:val="28"/>
          <w:szCs w:val="28"/>
        </w:rPr>
        <w:t>,  с кадас</w:t>
      </w:r>
      <w:r w:rsidR="00E83CAF">
        <w:rPr>
          <w:sz w:val="28"/>
          <w:szCs w:val="28"/>
        </w:rPr>
        <w:t>тровым номером 53:12:0203020:271, площадью 28</w:t>
      </w:r>
      <w:r>
        <w:rPr>
          <w:sz w:val="28"/>
          <w:szCs w:val="28"/>
        </w:rPr>
        <w:t xml:space="preserve"> </w:t>
      </w:r>
      <w:proofErr w:type="spellStart"/>
      <w:r>
        <w:rPr>
          <w:sz w:val="28"/>
          <w:szCs w:val="28"/>
        </w:rPr>
        <w:t>кв.м</w:t>
      </w:r>
      <w:proofErr w:type="spellEnd"/>
      <w:r>
        <w:rPr>
          <w:sz w:val="28"/>
          <w:szCs w:val="28"/>
        </w:rPr>
        <w:t xml:space="preserve">., вид разрешённого использования: </w:t>
      </w:r>
      <w:r w:rsidR="00DA4ABF">
        <w:rPr>
          <w:sz w:val="28"/>
          <w:szCs w:val="28"/>
        </w:rPr>
        <w:t>хранение автотранспорта</w:t>
      </w:r>
      <w:r>
        <w:rPr>
          <w:sz w:val="28"/>
          <w:szCs w:val="28"/>
        </w:rPr>
        <w:t xml:space="preserve">, категория земель – земли населенных пунктов, собственник земельного участка </w:t>
      </w:r>
      <w:r w:rsidR="00E83CAF">
        <w:rPr>
          <w:sz w:val="28"/>
          <w:szCs w:val="28"/>
        </w:rPr>
        <w:t>– Администрация Угловского городского</w:t>
      </w:r>
      <w:r>
        <w:rPr>
          <w:sz w:val="28"/>
          <w:szCs w:val="28"/>
        </w:rPr>
        <w:t xml:space="preserve"> поселен</w:t>
      </w:r>
      <w:r w:rsidR="00E83CAF">
        <w:rPr>
          <w:sz w:val="28"/>
          <w:szCs w:val="28"/>
        </w:rPr>
        <w:t>ия,</w:t>
      </w:r>
      <w:r w:rsidR="00342F3E">
        <w:rPr>
          <w:sz w:val="28"/>
          <w:szCs w:val="28"/>
        </w:rPr>
        <w:t xml:space="preserve"> право зарегистрирова</w:t>
      </w:r>
      <w:r w:rsidR="00E83CAF">
        <w:rPr>
          <w:sz w:val="28"/>
          <w:szCs w:val="28"/>
        </w:rPr>
        <w:t>но 18.10.2023 № 53:12:0203020:271</w:t>
      </w:r>
      <w:bookmarkStart w:id="0" w:name="_GoBack"/>
      <w:bookmarkEnd w:id="0"/>
      <w:r w:rsidR="00342F3E">
        <w:rPr>
          <w:sz w:val="28"/>
          <w:szCs w:val="28"/>
        </w:rPr>
        <w:t>-</w:t>
      </w:r>
      <w:r>
        <w:rPr>
          <w:sz w:val="28"/>
          <w:szCs w:val="28"/>
        </w:rPr>
        <w:t xml:space="preserve">53/093/2023 -2 . </w:t>
      </w:r>
    </w:p>
    <w:p w:rsidR="00342F3E" w:rsidRDefault="00342F3E" w:rsidP="00CA3871">
      <w:pPr>
        <w:pStyle w:val="a3"/>
        <w:rPr>
          <w:sz w:val="28"/>
          <w:szCs w:val="28"/>
        </w:rPr>
      </w:pPr>
    </w:p>
    <w:p w:rsidR="00CA3871" w:rsidRPr="00397579"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Pr>
          <w:rFonts w:ascii="Times New Roman" w:hAnsi="Times New Roman"/>
          <w:b/>
          <w:sz w:val="28"/>
          <w:szCs w:val="28"/>
          <w:lang w:val="ru-RU"/>
        </w:rPr>
        <w:t>бъекта недвижимости – не имеется</w:t>
      </w:r>
      <w:r w:rsidR="00CA3871" w:rsidRPr="00397579">
        <w:rPr>
          <w:rFonts w:ascii="Times New Roman" w:hAnsi="Times New Roman"/>
          <w:b/>
          <w:sz w:val="28"/>
          <w:szCs w:val="28"/>
          <w:lang w:val="ru-RU"/>
        </w:rPr>
        <w:t xml:space="preserve">.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DA4ABF" w:rsidRDefault="00DA4ABF"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Начальная (минимальная) цена предмета аукциона (земельного участка) – </w:t>
      </w:r>
      <w:r w:rsidRPr="009842B6">
        <w:rPr>
          <w:rFonts w:ascii="Times New Roman" w:hAnsi="Times New Roman"/>
          <w:b/>
          <w:sz w:val="28"/>
          <w:szCs w:val="28"/>
          <w:lang w:val="ru-RU"/>
        </w:rPr>
        <w:t>14723,48</w:t>
      </w:r>
      <w:r w:rsidRPr="009842B6">
        <w:rPr>
          <w:rFonts w:ascii="Times New Roman" w:hAnsi="Times New Roman"/>
          <w:sz w:val="28"/>
          <w:szCs w:val="28"/>
          <w:lang w:val="ru-RU"/>
        </w:rPr>
        <w:t xml:space="preserve"> руб.</w:t>
      </w:r>
    </w:p>
    <w:p w:rsidR="009842B6" w:rsidRPr="009842B6" w:rsidRDefault="009842B6" w:rsidP="009842B6">
      <w:pPr>
        <w:ind w:firstLine="720"/>
        <w:jc w:val="both"/>
        <w:rPr>
          <w:rFonts w:ascii="Times New Roman" w:hAnsi="Times New Roman"/>
          <w:sz w:val="28"/>
          <w:szCs w:val="28"/>
          <w:lang w:val="ru-RU"/>
        </w:rPr>
      </w:pPr>
      <w:r w:rsidRPr="009842B6">
        <w:rPr>
          <w:rFonts w:ascii="Times New Roman" w:hAnsi="Times New Roman"/>
          <w:sz w:val="28"/>
          <w:szCs w:val="28"/>
          <w:lang w:val="ru-RU"/>
        </w:rPr>
        <w:t xml:space="preserve">Шаг аукциона – </w:t>
      </w:r>
      <w:r w:rsidRPr="009842B6">
        <w:rPr>
          <w:rFonts w:ascii="Times New Roman" w:hAnsi="Times New Roman"/>
          <w:b/>
          <w:sz w:val="28"/>
          <w:szCs w:val="28"/>
          <w:lang w:val="ru-RU"/>
        </w:rPr>
        <w:t>441,70</w:t>
      </w:r>
      <w:r w:rsidRPr="009842B6">
        <w:rPr>
          <w:rFonts w:ascii="Times New Roman" w:hAnsi="Times New Roman"/>
          <w:sz w:val="28"/>
          <w:szCs w:val="28"/>
          <w:lang w:val="ru-RU"/>
        </w:rPr>
        <w:t xml:space="preserve"> руб., что составляет 3 процента от  начальной цены предмета аукциона.</w:t>
      </w:r>
    </w:p>
    <w:p w:rsidR="009842B6" w:rsidRPr="009842B6" w:rsidRDefault="009842B6" w:rsidP="009842B6">
      <w:pPr>
        <w:ind w:firstLine="720"/>
        <w:jc w:val="both"/>
        <w:rPr>
          <w:rFonts w:ascii="Times New Roman" w:hAnsi="Times New Roman"/>
          <w:sz w:val="28"/>
          <w:szCs w:val="28"/>
          <w:lang w:val="ru-RU"/>
        </w:rPr>
      </w:pPr>
      <w:r w:rsidRPr="009842B6">
        <w:rPr>
          <w:rFonts w:ascii="Times New Roman" w:hAnsi="Times New Roman"/>
          <w:sz w:val="28"/>
          <w:szCs w:val="28"/>
          <w:lang w:val="ru-RU"/>
        </w:rPr>
        <w:t xml:space="preserve">Задаток для участия в аукционе – </w:t>
      </w:r>
      <w:r w:rsidRPr="009842B6">
        <w:rPr>
          <w:rFonts w:ascii="Times New Roman" w:hAnsi="Times New Roman"/>
          <w:b/>
          <w:sz w:val="28"/>
          <w:szCs w:val="28"/>
          <w:lang w:val="ru-RU"/>
        </w:rPr>
        <w:t>2944,70</w:t>
      </w:r>
      <w:r w:rsidRPr="009842B6">
        <w:rPr>
          <w:rFonts w:ascii="Times New Roman" w:hAnsi="Times New Roman"/>
          <w:sz w:val="28"/>
          <w:szCs w:val="28"/>
          <w:lang w:val="ru-RU"/>
        </w:rPr>
        <w:t xml:space="preserve"> руб., что составляет 20 процентов от начальной цены предмета аукциона.</w:t>
      </w: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DA4ABF" w:rsidRDefault="00DA4ABF"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Ж.2. ЗОНА ЗАСТРОЙКИ СРЕДНЕЭТАЖНЫМИ ЖИЛЫМИ ДОМАМИ</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DA4ABF" w:rsidRDefault="00CA3871"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Calibri" w:hAnsi="Times New Roman"/>
          <w:b/>
          <w:bCs/>
          <w:sz w:val="28"/>
          <w:szCs w:val="28"/>
          <w:lang w:val="ru-RU"/>
        </w:rPr>
        <w:t xml:space="preserve">для зоны </w:t>
      </w:r>
      <w:r w:rsidR="00DA4ABF">
        <w:rPr>
          <w:rFonts w:ascii="Times New Roman" w:hAnsi="Times New Roman"/>
          <w:b/>
          <w:sz w:val="22"/>
          <w:szCs w:val="22"/>
          <w:lang w:val="ru-RU"/>
        </w:rPr>
        <w:t>Ж.2</w:t>
      </w:r>
      <w:r>
        <w:rPr>
          <w:rFonts w:ascii="Times New Roman" w:hAnsi="Times New Roman"/>
          <w:b/>
          <w:sz w:val="22"/>
          <w:szCs w:val="22"/>
          <w:lang w:val="ru-RU"/>
        </w:rPr>
        <w:t xml:space="preserve">. </w:t>
      </w:r>
      <w:r w:rsidR="00DA4ABF">
        <w:rPr>
          <w:rFonts w:ascii="Times New Roman" w:hAnsi="Times New Roman"/>
          <w:b/>
          <w:sz w:val="22"/>
          <w:szCs w:val="22"/>
          <w:lang w:val="ru-RU"/>
        </w:rPr>
        <w:t>ЗОНА ЗАСТРОЙКИ СРЕДНЕЭТАЖНЫМИ ЖИЛЫМИ ДОМАМИ</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жилых домов блокированной застройки и многоквартирных домов</w:t>
      </w:r>
      <w:r w:rsidR="00DA4ABF">
        <w:rPr>
          <w:rFonts w:ascii="Times New Roman" w:hAnsi="Times New Roman"/>
          <w:sz w:val="22"/>
          <w:szCs w:val="22"/>
          <w:lang w:val="ru-RU" w:eastAsia="ar-SA"/>
        </w:rPr>
        <w:t xml:space="preserve"> не выше 5-ти этажей</w:t>
      </w:r>
      <w:r>
        <w:rPr>
          <w:rFonts w:ascii="Times New Roman" w:hAnsi="Times New Roman"/>
          <w:sz w:val="22"/>
          <w:szCs w:val="22"/>
          <w:lang w:val="ru-RU" w:eastAsia="ar-SA"/>
        </w:rPr>
        <w:t>.</w:t>
      </w:r>
    </w:p>
    <w:p w:rsidR="00A228E1" w:rsidRPr="00A228E1" w:rsidRDefault="00CA3871" w:rsidP="00A228E1">
      <w:pPr>
        <w:autoSpaceDN w:val="0"/>
        <w:adjustRightInd w:val="0"/>
        <w:ind w:firstLine="540"/>
        <w:rPr>
          <w:rFonts w:ascii="Times New Roman" w:hAnsi="Times New Roman"/>
          <w:b/>
          <w:sz w:val="22"/>
          <w:szCs w:val="22"/>
          <w:lang w:val="ru-RU" w:eastAsia="ar-SA"/>
        </w:rPr>
      </w:pPr>
      <w:r>
        <w:rPr>
          <w:rFonts w:ascii="Times New Roman" w:hAnsi="Times New Roman"/>
          <w:sz w:val="24"/>
          <w:szCs w:val="24"/>
          <w:lang w:val="ru-RU"/>
        </w:rPr>
        <w:t xml:space="preserve"> </w:t>
      </w:r>
      <w:hyperlink r:id="rId7" w:history="1">
        <w:r w:rsidR="00A228E1" w:rsidRPr="00A228E1">
          <w:rPr>
            <w:rFonts w:ascii="Times New Roman" w:hAnsi="Times New Roman"/>
            <w:b/>
            <w:bCs/>
            <w:sz w:val="22"/>
            <w:szCs w:val="22"/>
            <w:lang w:val="ru-RU"/>
          </w:rPr>
          <w:t>Предельные</w:t>
        </w:r>
      </w:hyperlink>
      <w:r w:rsidR="00A228E1" w:rsidRPr="00A228E1">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28E1" w:rsidRPr="00A228E1">
        <w:rPr>
          <w:rFonts w:ascii="Times New Roman" w:hAnsi="Times New Roman"/>
          <w:b/>
          <w:sz w:val="22"/>
          <w:szCs w:val="22"/>
          <w:lang w:val="ru-RU" w:eastAsia="ar-SA"/>
        </w:rPr>
        <w:t>:</w:t>
      </w:r>
    </w:p>
    <w:p w:rsidR="00A228E1" w:rsidRPr="00A228E1" w:rsidRDefault="00A228E1" w:rsidP="00A228E1">
      <w:pPr>
        <w:tabs>
          <w:tab w:val="left" w:pos="3479"/>
        </w:tabs>
        <w:autoSpaceDE w:val="0"/>
        <w:autoSpaceDN w:val="0"/>
        <w:adjustRightInd w:val="0"/>
        <w:ind w:firstLine="540"/>
        <w:jc w:val="both"/>
        <w:rPr>
          <w:rFonts w:ascii="Times New Roman" w:hAnsi="Times New Roman"/>
          <w:b/>
          <w:sz w:val="22"/>
          <w:szCs w:val="22"/>
          <w:lang w:val="ru-RU" w:eastAsia="ar-SA"/>
        </w:rPr>
      </w:pPr>
      <w:r w:rsidRPr="00A228E1">
        <w:rPr>
          <w:rFonts w:ascii="Times New Roman" w:hAnsi="Times New Roman"/>
          <w:b/>
          <w:sz w:val="22"/>
          <w:szCs w:val="22"/>
          <w:lang w:val="ru-RU" w:eastAsia="ar-SA"/>
        </w:rPr>
        <w:tab/>
      </w:r>
    </w:p>
    <w:tbl>
      <w:tblPr>
        <w:tblW w:w="9934" w:type="dxa"/>
        <w:jc w:val="center"/>
        <w:tblInd w:w="108" w:type="dxa"/>
        <w:tblLayout w:type="fixed"/>
        <w:tblLook w:val="0000" w:firstRow="0" w:lastRow="0" w:firstColumn="0" w:lastColumn="0" w:noHBand="0" w:noVBand="0"/>
      </w:tblPr>
      <w:tblGrid>
        <w:gridCol w:w="716"/>
        <w:gridCol w:w="5386"/>
        <w:gridCol w:w="3832"/>
      </w:tblGrid>
      <w:tr w:rsidR="00A228E1" w:rsidRPr="00E83CAF" w:rsidTr="009842B6">
        <w:trPr>
          <w:tblHeade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Значения предельных размеров и параметров</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индивидуального жилищного строительства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0,25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Малоэтажная многоквартирная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Блокированная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минимальный размер земельного участка </w:t>
            </w:r>
            <w:proofErr w:type="gramStart"/>
            <w:r w:rsidRPr="00A228E1">
              <w:rPr>
                <w:rFonts w:ascii="Times New Roman" w:hAnsi="Times New Roman"/>
                <w:sz w:val="22"/>
                <w:szCs w:val="22"/>
                <w:lang w:val="ru-RU" w:eastAsia="zh-CN"/>
              </w:rPr>
              <w:t>-м</w:t>
            </w:r>
            <w:proofErr w:type="gramEnd"/>
            <w:r w:rsidRPr="00A228E1">
              <w:rPr>
                <w:rFonts w:ascii="Times New Roman" w:hAnsi="Times New Roman"/>
                <w:sz w:val="22"/>
                <w:szCs w:val="22"/>
                <w:lang w:val="ru-RU" w:eastAsia="zh-CN"/>
              </w:rPr>
              <w:t>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0,15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roofErr w:type="spellStart"/>
            <w:r w:rsidRPr="00A228E1">
              <w:rPr>
                <w:rFonts w:ascii="Times New Roman" w:hAnsi="Times New Roman"/>
                <w:sz w:val="22"/>
                <w:szCs w:val="22"/>
                <w:lang w:val="ru-RU" w:eastAsia="zh-CN"/>
              </w:rPr>
              <w:t>Среднеэтажная</w:t>
            </w:r>
            <w:proofErr w:type="spellEnd"/>
            <w:r w:rsidRPr="00A228E1">
              <w:rPr>
                <w:rFonts w:ascii="Times New Roman" w:hAnsi="Times New Roman"/>
                <w:sz w:val="22"/>
                <w:szCs w:val="22"/>
                <w:lang w:val="ru-RU" w:eastAsia="zh-CN"/>
              </w:rPr>
              <w:t xml:space="preserve">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Для индивидуальных гаражей: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видом разрешенного использования "Магазины", "Общественное питание"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с видом разрешенного использования "Амбулаторно-поликлиническое обслуживание", "Культурное развитие", "Религиозное использование", </w:t>
            </w:r>
            <w:r w:rsidRPr="00A228E1">
              <w:rPr>
                <w:rFonts w:ascii="Times New Roman" w:hAnsi="Times New Roman"/>
                <w:sz w:val="22"/>
                <w:szCs w:val="22"/>
                <w:lang w:val="ru-RU" w:eastAsia="zh-CN"/>
              </w:rPr>
              <w:lastRenderedPageBreak/>
              <w:t>"Общественное управление", "Амбулаторное ветеринарное обслуживание", "Деловое управление"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не подлежит установлению</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1.8.</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другими видами разрешенного использования:</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0,03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 га</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видом разрешенного использования "Для индивидуального жилищного строительства",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а) 30 % при размере земельного участка 800 м</w:t>
            </w:r>
            <w:r w:rsidRPr="00A228E1">
              <w:rPr>
                <w:rFonts w:ascii="Times New Roman" w:hAnsi="Times New Roman"/>
                <w:sz w:val="22"/>
                <w:szCs w:val="22"/>
                <w:vertAlign w:val="superscript"/>
                <w:lang w:val="x-none" w:eastAsia="zh-CN"/>
              </w:rPr>
              <w:t>2</w:t>
            </w:r>
            <w:r w:rsidRPr="00A228E1">
              <w:rPr>
                <w:rFonts w:ascii="Times New Roman" w:hAnsi="Times New Roman"/>
                <w:sz w:val="22"/>
                <w:szCs w:val="22"/>
                <w:lang w:val="x-none" w:eastAsia="zh-CN"/>
              </w:rPr>
              <w:t xml:space="preserve"> и менее</w:t>
            </w:r>
          </w:p>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б) 20 % при размере земельного участка более 800 м</w:t>
            </w:r>
            <w:r w:rsidRPr="00A228E1">
              <w:rPr>
                <w:rFonts w:ascii="Times New Roman" w:hAnsi="Times New Roman"/>
                <w:sz w:val="22"/>
                <w:szCs w:val="22"/>
                <w:vertAlign w:val="superscript"/>
                <w:lang w:val="x-none" w:eastAsia="zh-CN"/>
              </w:rPr>
              <w:t>2</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90%</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100 %</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6 м</w:t>
            </w:r>
          </w:p>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12 м</w:t>
            </w: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25 м</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A228E1">
              <w:rPr>
                <w:rFonts w:ascii="Times New Roman" w:hAnsi="Times New Roman"/>
                <w:b/>
                <w:bCs/>
                <w:sz w:val="22"/>
                <w:szCs w:val="22"/>
                <w:lang w:val="ru-RU" w:eastAsia="zh-CN"/>
              </w:rPr>
              <w:lastRenderedPageBreak/>
              <w:t>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м</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Максимальная высота вновь размещаемых и реконструируемых объектов </w:t>
            </w:r>
            <w:proofErr w:type="spellStart"/>
            <w:r w:rsidRPr="00A228E1">
              <w:rPr>
                <w:rFonts w:ascii="Times New Roman" w:hAnsi="Times New Roman"/>
                <w:sz w:val="22"/>
                <w:szCs w:val="22"/>
                <w:lang w:val="ru-RU" w:eastAsia="zh-CN"/>
              </w:rPr>
              <w:t>среднеэтажной</w:t>
            </w:r>
            <w:proofErr w:type="spellEnd"/>
            <w:r w:rsidRPr="00A228E1">
              <w:rPr>
                <w:rFonts w:ascii="Times New Roman" w:hAnsi="Times New Roman"/>
                <w:sz w:val="22"/>
                <w:szCs w:val="22"/>
                <w:lang w:val="ru-RU" w:eastAsia="zh-CN"/>
              </w:rPr>
              <w:t xml:space="preserve"> жилой застройки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надземных этажей</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5.2. </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объектов, отнесенных к иным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не выше 15 метров</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-от уровня земли до верха плоской кровли не более: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228E1" w:rsidRPr="00A228E1" w:rsidRDefault="00A228E1" w:rsidP="00A228E1">
            <w:pPr>
              <w:suppressAutoHyphens/>
              <w:rPr>
                <w:rFonts w:ascii="Times New Roman" w:hAnsi="Times New Roman"/>
                <w:sz w:val="22"/>
                <w:szCs w:val="22"/>
                <w:lang w:val="ru-RU" w:eastAsia="zh-CN"/>
              </w:rPr>
            </w:pP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м.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наиболее высокой части ограждения</w:t>
            </w: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p>
        </w:tc>
      </w:tr>
      <w:tr w:rsidR="00A228E1" w:rsidRPr="00E83CAF"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7.1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xml:space="preserve">предприятий розничной торговли, предприятий </w:t>
            </w:r>
            <w:r w:rsidRPr="00A228E1">
              <w:rPr>
                <w:rFonts w:ascii="Times New Roman" w:hAnsi="Times New Roman"/>
                <w:sz w:val="22"/>
                <w:szCs w:val="22"/>
                <w:lang w:val="x-none" w:eastAsia="zh-CN"/>
              </w:rPr>
              <w:lastRenderedPageBreak/>
              <w:t>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lastRenderedPageBreak/>
              <w:t>300 м</w:t>
            </w:r>
            <w:r w:rsidRPr="00A228E1">
              <w:rPr>
                <w:rFonts w:ascii="Times New Roman" w:hAnsi="Times New Roman"/>
                <w:sz w:val="22"/>
                <w:szCs w:val="22"/>
                <w:vertAlign w:val="superscript"/>
                <w:lang w:val="x-none" w:eastAsia="zh-CN"/>
              </w:rPr>
              <w:t>2</w:t>
            </w:r>
          </w:p>
        </w:tc>
      </w:tr>
    </w:tbl>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Подключение к сетям теплоснабжения объекта невозможно из-за отсутствия технической возможности для подключения.</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994DEE">
        <w:rPr>
          <w:rFonts w:ascii="Times New Roman" w:hAnsi="Times New Roman"/>
          <w:b/>
          <w:sz w:val="28"/>
          <w:szCs w:val="28"/>
          <w:lang w:val="ru-RU"/>
        </w:rPr>
        <w:t>19 января 2024</w:t>
      </w:r>
      <w:r>
        <w:rPr>
          <w:rFonts w:ascii="Times New Roman" w:hAnsi="Times New Roman"/>
          <w:b/>
          <w:sz w:val="28"/>
          <w:szCs w:val="28"/>
          <w:lang w:val="ru-RU"/>
        </w:rPr>
        <w:t xml:space="preserve"> г. 8:30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994DEE">
        <w:rPr>
          <w:rFonts w:ascii="Times New Roman" w:hAnsi="Times New Roman"/>
          <w:b/>
          <w:sz w:val="28"/>
          <w:szCs w:val="28"/>
          <w:lang w:val="ru-RU"/>
        </w:rPr>
        <w:t>16 феврал</w:t>
      </w:r>
      <w:r>
        <w:rPr>
          <w:rFonts w:ascii="Times New Roman" w:hAnsi="Times New Roman"/>
          <w:b/>
          <w:sz w:val="28"/>
          <w:szCs w:val="28"/>
          <w:lang w:val="ru-RU"/>
        </w:rPr>
        <w:t>я 2024 г. 17:30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994DEE">
        <w:rPr>
          <w:rFonts w:ascii="Times New Roman" w:hAnsi="Times New Roman"/>
          <w:b/>
          <w:sz w:val="28"/>
          <w:szCs w:val="28"/>
          <w:lang w:val="ru-RU"/>
        </w:rPr>
        <w:t>– 19 феврал</w:t>
      </w:r>
      <w:r>
        <w:rPr>
          <w:rFonts w:ascii="Times New Roman" w:hAnsi="Times New Roman"/>
          <w:b/>
          <w:sz w:val="28"/>
          <w:szCs w:val="28"/>
          <w:lang w:val="ru-RU"/>
        </w:rPr>
        <w:t>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994DEE">
        <w:rPr>
          <w:rFonts w:ascii="Times New Roman" w:hAnsi="Times New Roman"/>
          <w:b/>
          <w:sz w:val="28"/>
          <w:szCs w:val="28"/>
          <w:lang w:val="ru-RU"/>
        </w:rPr>
        <w:t>2944,70</w:t>
      </w:r>
      <w:r>
        <w:rPr>
          <w:rFonts w:ascii="Times New Roman" w:hAnsi="Times New Roman"/>
          <w:sz w:val="28"/>
          <w:szCs w:val="28"/>
          <w:lang w:val="ru-RU"/>
        </w:rPr>
        <w:t xml:space="preserve"> </w:t>
      </w:r>
      <w:r w:rsidR="00994DEE">
        <w:rPr>
          <w:rFonts w:ascii="Times New Roman" w:hAnsi="Times New Roman"/>
          <w:b/>
          <w:sz w:val="28"/>
          <w:szCs w:val="24"/>
          <w:lang w:val="ru-RU"/>
        </w:rPr>
        <w:t>(две</w:t>
      </w:r>
      <w:r>
        <w:rPr>
          <w:rFonts w:ascii="Times New Roman" w:hAnsi="Times New Roman"/>
          <w:b/>
          <w:sz w:val="28"/>
          <w:szCs w:val="24"/>
          <w:lang w:val="ru-RU"/>
        </w:rPr>
        <w:t xml:space="preserve"> тысяч</w:t>
      </w:r>
      <w:r w:rsidR="00397579">
        <w:rPr>
          <w:rFonts w:ascii="Times New Roman" w:hAnsi="Times New Roman"/>
          <w:b/>
          <w:sz w:val="28"/>
          <w:szCs w:val="24"/>
          <w:lang w:val="ru-RU"/>
        </w:rPr>
        <w:t>и</w:t>
      </w:r>
      <w:r>
        <w:rPr>
          <w:rFonts w:ascii="Times New Roman" w:hAnsi="Times New Roman"/>
          <w:b/>
          <w:sz w:val="28"/>
          <w:szCs w:val="24"/>
          <w:lang w:val="ru-RU"/>
        </w:rPr>
        <w:t xml:space="preserve"> </w:t>
      </w:r>
      <w:r w:rsidR="00994DEE">
        <w:rPr>
          <w:rFonts w:ascii="Times New Roman" w:hAnsi="Times New Roman"/>
          <w:b/>
          <w:sz w:val="28"/>
          <w:szCs w:val="24"/>
          <w:lang w:val="ru-RU"/>
        </w:rPr>
        <w:t xml:space="preserve">девятьсот сорок четыре) рубля </w:t>
      </w:r>
      <w:r w:rsidR="00A228E1">
        <w:rPr>
          <w:rFonts w:ascii="Times New Roman" w:hAnsi="Times New Roman"/>
          <w:b/>
          <w:sz w:val="28"/>
          <w:szCs w:val="24"/>
          <w:lang w:val="ru-RU"/>
        </w:rPr>
        <w:t>7</w:t>
      </w:r>
      <w:r w:rsidR="00994DEE">
        <w:rPr>
          <w:rFonts w:ascii="Times New Roman" w:hAnsi="Times New Roman"/>
          <w:b/>
          <w:sz w:val="28"/>
          <w:szCs w:val="24"/>
          <w:lang w:val="ru-RU"/>
        </w:rPr>
        <w:t>0</w:t>
      </w:r>
      <w:r w:rsidR="00A228E1">
        <w:rPr>
          <w:rFonts w:ascii="Times New Roman" w:hAnsi="Times New Roman"/>
          <w:b/>
          <w:sz w:val="28"/>
          <w:szCs w:val="24"/>
          <w:lang w:val="ru-RU"/>
        </w:rPr>
        <w:t xml:space="preserve">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52EBB" w:rsidRDefault="00F52EBB" w:rsidP="00CA3871">
      <w:pPr>
        <w:suppressAutoHyphens/>
        <w:ind w:right="-141"/>
        <w:jc w:val="center"/>
        <w:rPr>
          <w:rFonts w:ascii="Times New Roman" w:hAnsi="Times New Roman"/>
          <w:b/>
          <w:sz w:val="28"/>
          <w:szCs w:val="24"/>
          <w:lang w:val="ru-RU" w:eastAsia="ar-SA"/>
        </w:rPr>
      </w:pPr>
    </w:p>
    <w:p w:rsidR="00F52EBB" w:rsidRDefault="00F52EBB" w:rsidP="00CA3871">
      <w:pPr>
        <w:suppressAutoHyphens/>
        <w:ind w:right="-141"/>
        <w:jc w:val="center"/>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lastRenderedPageBreak/>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ул.Центральная</w:t>
      </w:r>
      <w:proofErr w:type="spellEnd"/>
      <w:r>
        <w:rPr>
          <w:rFonts w:ascii="Times New Roman" w:hAnsi="Times New Roman"/>
          <w:sz w:val="28"/>
          <w:szCs w:val="28"/>
          <w:lang w:val="ru-RU"/>
        </w:rPr>
        <w:t xml:space="preserve">, д.9, каб.2, по рабочим дням </w:t>
      </w:r>
      <w:r>
        <w:rPr>
          <w:rFonts w:ascii="Times New Roman" w:hAnsi="Times New Roman"/>
          <w:sz w:val="28"/>
          <w:lang w:val="ru-RU"/>
        </w:rPr>
        <w:t>с 8 часов 30 мин. до 17 час. 30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341678"/>
    <w:rsid w:val="00342F3E"/>
    <w:rsid w:val="00397579"/>
    <w:rsid w:val="003E518C"/>
    <w:rsid w:val="00483A6C"/>
    <w:rsid w:val="004C0F61"/>
    <w:rsid w:val="006B38AA"/>
    <w:rsid w:val="007B78E5"/>
    <w:rsid w:val="009842B6"/>
    <w:rsid w:val="00994DEE"/>
    <w:rsid w:val="00A228E1"/>
    <w:rsid w:val="00BD19E7"/>
    <w:rsid w:val="00CA3871"/>
    <w:rsid w:val="00DA4ABF"/>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138A-4B5A-4002-A115-216CA196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dcterms:created xsi:type="dcterms:W3CDTF">2023-12-11T14:32:00Z</dcterms:created>
  <dcterms:modified xsi:type="dcterms:W3CDTF">2024-01-18T11:44:00Z</dcterms:modified>
</cp:coreProperties>
</file>